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13ABD" w14:textId="77777777" w:rsidR="004B2D43" w:rsidRPr="004B2D43" w:rsidRDefault="004B2D43" w:rsidP="004B2D43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4B2D43">
        <w:rPr>
          <w:rFonts w:ascii="Times New Roman" w:hAnsi="Times New Roman" w:cs="Times New Roman"/>
          <w:b/>
          <w:bCs/>
          <w:sz w:val="32"/>
          <w:szCs w:val="32"/>
        </w:rPr>
        <w:t>Procedimiento: Gestión de No Conformidades – Área DUMAR</w:t>
      </w:r>
    </w:p>
    <w:p w14:paraId="39101941" w14:textId="77777777" w:rsid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</w:p>
    <w:p w14:paraId="46D74EC2" w14:textId="76E48D5D" w:rsidR="004B2D43" w:rsidRPr="004B2D43" w:rsidRDefault="004B2D43" w:rsidP="004B2D4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2D43">
        <w:rPr>
          <w:rFonts w:ascii="Times New Roman" w:hAnsi="Times New Roman" w:cs="Times New Roman"/>
          <w:b/>
          <w:bCs/>
          <w:sz w:val="24"/>
          <w:szCs w:val="24"/>
        </w:rPr>
        <w:t>1. Alcance</w:t>
      </w:r>
    </w:p>
    <w:p w14:paraId="4CF55592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Este procedimiento aplica a todas las no conformidades detectadas durante la ejecución de los procesos del área DUMAR, incluyendo mecanizado, ajuste, embalaje y liberación de productos. También cubre la documentación, análisis, tratamiento y verificación de cada caso, garantizando su trazabilidad y cierre efectivo dentro del marco del Sistema de Gestión de Calidad.</w:t>
      </w:r>
    </w:p>
    <w:p w14:paraId="7AE0ADDC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</w:p>
    <w:p w14:paraId="187AB960" w14:textId="6DB3B67E" w:rsidR="004B2D43" w:rsidRPr="004B2D43" w:rsidRDefault="004B2D43" w:rsidP="004B2D4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2D43">
        <w:rPr>
          <w:rFonts w:ascii="Times New Roman" w:hAnsi="Times New Roman" w:cs="Times New Roman"/>
          <w:b/>
          <w:bCs/>
          <w:sz w:val="24"/>
          <w:szCs w:val="24"/>
        </w:rPr>
        <w:t>2. Objetivo</w:t>
      </w:r>
    </w:p>
    <w:p w14:paraId="37265372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Establecer un método sistemático para identificar, registrar, analizar y tratar las no conformidades que se presenten en el área DUMAR, con el fin de evitar la entrega de productos no conformes, prevenir su recurrencia y promover la mejora continua de los procesos.</w:t>
      </w:r>
    </w:p>
    <w:p w14:paraId="545BFF66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</w:p>
    <w:p w14:paraId="6861D4BA" w14:textId="4A854CEA" w:rsidR="004B2D43" w:rsidRPr="004B2D43" w:rsidRDefault="004B2D43" w:rsidP="004B2D4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2D43">
        <w:rPr>
          <w:rFonts w:ascii="Times New Roman" w:hAnsi="Times New Roman" w:cs="Times New Roman"/>
          <w:b/>
          <w:bCs/>
          <w:sz w:val="24"/>
          <w:szCs w:val="24"/>
        </w:rPr>
        <w:t>3. Descripción del procedimiento</w:t>
      </w:r>
    </w:p>
    <w:p w14:paraId="0C2ADA43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  <w:u w:val="single"/>
        </w:rPr>
      </w:pPr>
      <w:r w:rsidRPr="004B2D43">
        <w:rPr>
          <w:rFonts w:ascii="Times New Roman" w:hAnsi="Times New Roman" w:cs="Times New Roman"/>
          <w:sz w:val="24"/>
          <w:szCs w:val="24"/>
          <w:u w:val="single"/>
        </w:rPr>
        <w:t>3.1 Detección de la no conformidad</w:t>
      </w:r>
    </w:p>
    <w:p w14:paraId="6303E506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Cualquier operario, técnico o supervisor que identifique una desviación respecto al plano, especificación técnica o criterio visual debe notificarlo inmediatamente. Se marca el producto o pieza como "NO CONFORME" y se separa del flujo regular.</w:t>
      </w:r>
    </w:p>
    <w:p w14:paraId="27760939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</w:p>
    <w:p w14:paraId="764C94B7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  <w:u w:val="single"/>
        </w:rPr>
      </w:pPr>
      <w:r w:rsidRPr="004B2D43">
        <w:rPr>
          <w:rFonts w:ascii="Times New Roman" w:hAnsi="Times New Roman" w:cs="Times New Roman"/>
          <w:sz w:val="24"/>
          <w:szCs w:val="24"/>
          <w:u w:val="single"/>
        </w:rPr>
        <w:t>3.2 Validación de la no conformidad</w:t>
      </w:r>
    </w:p>
    <w:p w14:paraId="72F2157B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El jefe de área o el analista de calidad verifica si la desviación es real, revisando el plano, tolerancias, documentación técnica y evidencia visual. Si se confirma, se procede con el registro oficial.</w:t>
      </w:r>
    </w:p>
    <w:p w14:paraId="4C2F0A31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</w:p>
    <w:p w14:paraId="43A6D30A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  <w:u w:val="single"/>
        </w:rPr>
      </w:pPr>
      <w:r w:rsidRPr="004B2D43">
        <w:rPr>
          <w:rFonts w:ascii="Times New Roman" w:hAnsi="Times New Roman" w:cs="Times New Roman"/>
          <w:sz w:val="24"/>
          <w:szCs w:val="24"/>
          <w:u w:val="single"/>
        </w:rPr>
        <w:t>3.3 Registro de la no conformidad</w:t>
      </w:r>
    </w:p>
    <w:p w14:paraId="47397D84" w14:textId="39A59ED1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Se diligencia el formato de no conformidad, donde se incluye:</w:t>
      </w:r>
    </w:p>
    <w:p w14:paraId="6C2A3881" w14:textId="21CA875A" w:rsidR="004B2D43" w:rsidRPr="004B2D43" w:rsidRDefault="004B2D43" w:rsidP="004B2D4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Fecha y número de orden</w:t>
      </w:r>
    </w:p>
    <w:p w14:paraId="21ED424E" w14:textId="71B74FD9" w:rsidR="004B2D43" w:rsidRPr="004B2D43" w:rsidRDefault="004B2D43" w:rsidP="004B2D4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Código o referencia de la pieza</w:t>
      </w:r>
    </w:p>
    <w:p w14:paraId="2051BCFB" w14:textId="207F34F7" w:rsidR="004B2D43" w:rsidRPr="004B2D43" w:rsidRDefault="004B2D43" w:rsidP="004B2D4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Descripción de la desviación</w:t>
      </w:r>
    </w:p>
    <w:p w14:paraId="746A8158" w14:textId="4B1FA865" w:rsidR="004B2D43" w:rsidRPr="004B2D43" w:rsidRDefault="004B2D43" w:rsidP="004B2D4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Evidencia fotográfica (si aplica)</w:t>
      </w:r>
    </w:p>
    <w:p w14:paraId="34F0F44C" w14:textId="77777777" w:rsidR="004B2D43" w:rsidRPr="004B2D43" w:rsidRDefault="004B2D43" w:rsidP="004B2D4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Área que reporta</w:t>
      </w:r>
    </w:p>
    <w:p w14:paraId="1AD8CDAC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</w:p>
    <w:p w14:paraId="0A56EC98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  <w:u w:val="single"/>
        </w:rPr>
      </w:pPr>
      <w:r w:rsidRPr="004B2D43">
        <w:rPr>
          <w:rFonts w:ascii="Times New Roman" w:hAnsi="Times New Roman" w:cs="Times New Roman"/>
          <w:sz w:val="24"/>
          <w:szCs w:val="24"/>
          <w:u w:val="single"/>
        </w:rPr>
        <w:t>3.4 Análisis de la causa</w:t>
      </w:r>
    </w:p>
    <w:p w14:paraId="43BF4408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Se determina si la no conformidad se originó en el área DUMAR o en otra área (como diseño o producción). Cuando es atribuible a DUMAR, se realiza un análisis de causa raíz utilizando herramientas como los 5 Porqués o el diagrama de Ishikawa, para identificar el origen del error.</w:t>
      </w:r>
    </w:p>
    <w:p w14:paraId="1BA1C552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</w:p>
    <w:p w14:paraId="281B892C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  <w:u w:val="single"/>
        </w:rPr>
      </w:pPr>
      <w:r w:rsidRPr="004B2D43">
        <w:rPr>
          <w:rFonts w:ascii="Times New Roman" w:hAnsi="Times New Roman" w:cs="Times New Roman"/>
          <w:sz w:val="24"/>
          <w:szCs w:val="24"/>
          <w:u w:val="single"/>
        </w:rPr>
        <w:t>3.5 Tratamiento de la no conformidad</w:t>
      </w:r>
    </w:p>
    <w:p w14:paraId="598753B3" w14:textId="3A6FE948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Se evalúa si el producto:</w:t>
      </w:r>
    </w:p>
    <w:p w14:paraId="7CD79B1E" w14:textId="44B6F8B4" w:rsidR="004B2D43" w:rsidRPr="004B2D43" w:rsidRDefault="004B2D43" w:rsidP="004B2D43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Puede corregirse (ajuste, reproceso)</w:t>
      </w:r>
    </w:p>
    <w:p w14:paraId="7666D451" w14:textId="77777777" w:rsidR="004B2D43" w:rsidRPr="004B2D43" w:rsidRDefault="004B2D43" w:rsidP="004B2D43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Debe desecharse (pieza irrecuperable)</w:t>
      </w:r>
    </w:p>
    <w:p w14:paraId="61EC2288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>La decisión debe ser validada por el jefe de área. Toda acción correctiva debe implementarse antes de continuar con el proceso.</w:t>
      </w:r>
    </w:p>
    <w:p w14:paraId="3AF5A608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</w:p>
    <w:p w14:paraId="7CEF4696" w14:textId="77777777" w:rsidR="004B2D43" w:rsidRPr="004B2D43" w:rsidRDefault="004B2D43" w:rsidP="004B2D43">
      <w:pPr>
        <w:rPr>
          <w:rFonts w:ascii="Times New Roman" w:hAnsi="Times New Roman" w:cs="Times New Roman"/>
          <w:sz w:val="24"/>
          <w:szCs w:val="24"/>
          <w:u w:val="single"/>
        </w:rPr>
      </w:pPr>
      <w:r w:rsidRPr="004B2D43">
        <w:rPr>
          <w:rFonts w:ascii="Times New Roman" w:hAnsi="Times New Roman" w:cs="Times New Roman"/>
          <w:sz w:val="24"/>
          <w:szCs w:val="24"/>
          <w:u w:val="single"/>
        </w:rPr>
        <w:t>3.6 Verificación y cierre</w:t>
      </w:r>
    </w:p>
    <w:p w14:paraId="5388E31E" w14:textId="0273E5DA" w:rsidR="007E3A71" w:rsidRPr="004B2D43" w:rsidRDefault="004B2D43" w:rsidP="004B2D43">
      <w:pPr>
        <w:rPr>
          <w:rFonts w:ascii="Times New Roman" w:hAnsi="Times New Roman" w:cs="Times New Roman"/>
          <w:sz w:val="24"/>
          <w:szCs w:val="24"/>
        </w:rPr>
      </w:pPr>
      <w:r w:rsidRPr="004B2D43">
        <w:rPr>
          <w:rFonts w:ascii="Times New Roman" w:hAnsi="Times New Roman" w:cs="Times New Roman"/>
          <w:sz w:val="24"/>
          <w:szCs w:val="24"/>
        </w:rPr>
        <w:t xml:space="preserve">Una vez aplicada la acción correctiva, el jefe de área o analista de calidad verifica su efectividad. Si la pieza cumple con los requisitos, se cierra formalmente la no conformidad y se archiva el registro en la base de datos de </w:t>
      </w:r>
      <w:proofErr w:type="spellStart"/>
      <w:r w:rsidRPr="004B2D43">
        <w:rPr>
          <w:rFonts w:ascii="Times New Roman" w:hAnsi="Times New Roman" w:cs="Times New Roman"/>
          <w:sz w:val="24"/>
          <w:szCs w:val="24"/>
        </w:rPr>
        <w:t>NCs</w:t>
      </w:r>
      <w:proofErr w:type="spellEnd"/>
      <w:r w:rsidRPr="004B2D43">
        <w:rPr>
          <w:rFonts w:ascii="Times New Roman" w:hAnsi="Times New Roman" w:cs="Times New Roman"/>
          <w:sz w:val="24"/>
          <w:szCs w:val="24"/>
        </w:rPr>
        <w:t xml:space="preserve"> para seguimiento y estadísticas.</w:t>
      </w:r>
    </w:p>
    <w:sectPr w:rsidR="007E3A71" w:rsidRPr="004B2D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B4D2E"/>
    <w:multiLevelType w:val="hybridMultilevel"/>
    <w:tmpl w:val="586468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544D3C"/>
    <w:multiLevelType w:val="hybridMultilevel"/>
    <w:tmpl w:val="74067BC8"/>
    <w:lvl w:ilvl="0" w:tplc="8A56A87E">
      <w:numFmt w:val="bullet"/>
      <w:lvlText w:val="•"/>
      <w:lvlJc w:val="left"/>
      <w:pPr>
        <w:ind w:left="720" w:hanging="360"/>
      </w:pPr>
      <w:rPr>
        <w:rFonts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8552AB"/>
    <w:multiLevelType w:val="hybridMultilevel"/>
    <w:tmpl w:val="40B6FFC6"/>
    <w:lvl w:ilvl="0" w:tplc="8A56A87E">
      <w:numFmt w:val="bullet"/>
      <w:lvlText w:val="•"/>
      <w:lvlJc w:val="left"/>
      <w:pPr>
        <w:ind w:left="720" w:hanging="360"/>
      </w:pPr>
      <w:rPr>
        <w:rFonts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43"/>
    <w:rsid w:val="004B2D43"/>
    <w:rsid w:val="00571D39"/>
    <w:rsid w:val="0075257E"/>
    <w:rsid w:val="007E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724B"/>
  <w15:chartTrackingRefBased/>
  <w15:docId w15:val="{FAD88248-8EF6-46AD-B5AB-F7DBE461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B2D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moreno palacio</dc:creator>
  <cp:keywords/>
  <dc:description/>
  <cp:lastModifiedBy>fernando moreno palacio</cp:lastModifiedBy>
  <cp:revision>1</cp:revision>
  <dcterms:created xsi:type="dcterms:W3CDTF">2025-06-05T20:02:00Z</dcterms:created>
  <dcterms:modified xsi:type="dcterms:W3CDTF">2025-06-05T20:04:00Z</dcterms:modified>
</cp:coreProperties>
</file>